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CBCE" w14:textId="054E7B85" w:rsidR="00E216C2" w:rsidRPr="0057335F" w:rsidRDefault="002500D2" w:rsidP="005733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MODEL IRRIGATION DISTRICT 20</w:t>
      </w:r>
      <w:r w:rsidR="00BF6327">
        <w:rPr>
          <w:rFonts w:ascii="Arial" w:eastAsia="Arial" w:hAnsi="Arial" w:cs="Arial"/>
          <w:color w:val="000000"/>
          <w:sz w:val="27"/>
          <w:szCs w:val="27"/>
        </w:rPr>
        <w:t>2</w:t>
      </w:r>
      <w:r w:rsidR="00F8190B">
        <w:rPr>
          <w:rFonts w:ascii="Arial" w:eastAsia="Arial" w:hAnsi="Arial" w:cs="Arial"/>
          <w:color w:val="000000"/>
          <w:sz w:val="27"/>
          <w:szCs w:val="27"/>
        </w:rPr>
        <w:t>4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ANNUAL WATER QUALITY DATA REPORT</w:t>
      </w:r>
    </w:p>
    <w:p w14:paraId="52A684DD" w14:textId="432D03E6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Listed below are the drinking water contaminants that we detected during the 20</w:t>
      </w:r>
      <w:r w:rsidR="00BF6327">
        <w:rPr>
          <w:rFonts w:ascii="Arial" w:eastAsia="Arial" w:hAnsi="Arial" w:cs="Arial"/>
          <w:color w:val="000000"/>
          <w:sz w:val="22"/>
          <w:szCs w:val="22"/>
        </w:rPr>
        <w:t>2</w:t>
      </w:r>
      <w:r w:rsidR="00F8190B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calendar year. The presence of any contaminant in the water does not necessarily indicate that the water poses a health risk. Unless otherwise noted, the data presented in this table is from testing done January 1-December 31, 20</w:t>
      </w:r>
      <w:r w:rsidR="00BF6327">
        <w:rPr>
          <w:rFonts w:ascii="Arial" w:eastAsia="Arial" w:hAnsi="Arial" w:cs="Arial"/>
          <w:color w:val="000000"/>
          <w:sz w:val="22"/>
          <w:szCs w:val="22"/>
        </w:rPr>
        <w:t>2</w:t>
      </w:r>
      <w:r w:rsidR="00F8190B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The state requires us to monitor for certain contaminants less than once per year because the concentrations of these contaminants are not expected to vary significantly from year to </w:t>
      </w:r>
      <w:r w:rsidR="008172DD">
        <w:rPr>
          <w:rFonts w:ascii="Arial" w:eastAsia="Arial" w:hAnsi="Arial" w:cs="Arial"/>
          <w:color w:val="000000"/>
          <w:sz w:val="22"/>
          <w:szCs w:val="22"/>
        </w:rPr>
        <w:t>year. Any Questions 926-5759</w:t>
      </w:r>
      <w:r w:rsidR="005C0495">
        <w:rPr>
          <w:rFonts w:ascii="Arial" w:eastAsia="Arial" w:hAnsi="Arial" w:cs="Arial"/>
          <w:color w:val="000000"/>
          <w:sz w:val="22"/>
          <w:szCs w:val="22"/>
        </w:rPr>
        <w:t>-Rick Neal Manager</w:t>
      </w:r>
    </w:p>
    <w:tbl>
      <w:tblPr>
        <w:tblStyle w:val="a"/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917"/>
        <w:gridCol w:w="917"/>
        <w:gridCol w:w="2874"/>
        <w:gridCol w:w="2590"/>
      </w:tblGrid>
      <w:tr w:rsidR="00E216C2" w14:paraId="0B20D57E" w14:textId="77777777" w:rsidTr="003C6C4C">
        <w:trPr>
          <w:trHeight w:val="480"/>
          <w:jc w:val="center"/>
        </w:trPr>
        <w:tc>
          <w:tcPr>
            <w:tcW w:w="3822" w:type="dxa"/>
          </w:tcPr>
          <w:p w14:paraId="5943E2D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17" w:type="dxa"/>
          </w:tcPr>
          <w:p w14:paraId="1C61E95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7341478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</w:t>
            </w:r>
          </w:p>
        </w:tc>
        <w:tc>
          <w:tcPr>
            <w:tcW w:w="917" w:type="dxa"/>
          </w:tcPr>
          <w:p w14:paraId="2A62FF1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32E0A31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MCLG</w:t>
            </w:r>
          </w:p>
        </w:tc>
        <w:tc>
          <w:tcPr>
            <w:tcW w:w="2874" w:type="dxa"/>
          </w:tcPr>
          <w:p w14:paraId="6EDCA63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Level Detected</w:t>
            </w:r>
          </w:p>
          <w:p w14:paraId="21E2043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6C8A9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Likely Source of Contamination</w:t>
            </w:r>
          </w:p>
        </w:tc>
      </w:tr>
      <w:tr w:rsidR="00E216C2" w14:paraId="5D5DDD7E" w14:textId="77777777" w:rsidTr="003C6C4C">
        <w:trPr>
          <w:jc w:val="center"/>
        </w:trPr>
        <w:tc>
          <w:tcPr>
            <w:tcW w:w="3822" w:type="dxa"/>
          </w:tcPr>
          <w:p w14:paraId="05AAFF3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Microbiology</w:t>
            </w:r>
          </w:p>
          <w:p w14:paraId="0C0EB768" w14:textId="2105B755" w:rsidR="00E216C2" w:rsidRDefault="00A0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8190B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tests taken during the year at all well sites &amp; sample </w:t>
            </w:r>
            <w:r w:rsidR="00140D4A">
              <w:rPr>
                <w:rFonts w:ascii="Arial" w:eastAsia="Arial" w:hAnsi="Arial" w:cs="Arial"/>
                <w:color w:val="000000"/>
                <w:sz w:val="20"/>
                <w:szCs w:val="20"/>
              </w:rPr>
              <w:t>stations.</w:t>
            </w:r>
          </w:p>
          <w:p w14:paraId="2B9EC80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Total Coliform Bacteria </w:t>
            </w:r>
          </w:p>
          <w:p w14:paraId="056BA33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Fecal Coliform and E. Coli </w:t>
            </w:r>
          </w:p>
        </w:tc>
        <w:tc>
          <w:tcPr>
            <w:tcW w:w="917" w:type="dxa"/>
          </w:tcPr>
          <w:p w14:paraId="0D600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84B0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93270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4D2F6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6215A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48966AF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92C3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6F48A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43D2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EE458C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92DB6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satisfactory.</w:t>
            </w:r>
          </w:p>
          <w:p w14:paraId="19C357F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134C2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present in the environment, and from industrial or domestic wastewater discharges, mining or farming and livestock productions.</w:t>
            </w:r>
          </w:p>
        </w:tc>
      </w:tr>
      <w:tr w:rsidR="00E216C2" w14:paraId="31924376" w14:textId="77777777" w:rsidTr="003C6C4C">
        <w:trPr>
          <w:jc w:val="center"/>
        </w:trPr>
        <w:tc>
          <w:tcPr>
            <w:tcW w:w="3822" w:type="dxa"/>
          </w:tcPr>
          <w:p w14:paraId="75071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Inorganic Chemicals</w:t>
            </w:r>
          </w:p>
          <w:p w14:paraId="2CEC22CF" w14:textId="6C817DB8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required. IOCs per well site </w:t>
            </w:r>
          </w:p>
          <w:p w14:paraId="7A0019DD" w14:textId="14C65712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0ED3C1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Herbicides, Pesticides</w:t>
            </w:r>
          </w:p>
          <w:p w14:paraId="5827A55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FF9444" w14:textId="49B03AF6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Nitrate All </w:t>
            </w:r>
            <w:r w:rsidR="009726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Satisfactory, tested </w:t>
            </w:r>
            <w:r w:rsidR="0070280A">
              <w:rPr>
                <w:rFonts w:ascii="Arial" w:eastAsia="Arial" w:hAnsi="Arial" w:cs="Arial"/>
                <w:color w:val="000000"/>
                <w:sz w:val="20"/>
                <w:szCs w:val="20"/>
              </w:rPr>
              <w:t>annually.</w:t>
            </w:r>
            <w:r w:rsidR="009726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EE7A002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6C7B" w14:textId="54F234A3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6D3878F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862E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A9D4E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65A42F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6FC8DB6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968D3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5B4157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A8C0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E9725A" w14:textId="75AD2345" w:rsidR="00E216C2" w:rsidRDefault="003C6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02D4BF1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B47BE6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02018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1296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C9F19D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ED52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432F0C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4D1A4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F5F0E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727C954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below MCL.</w:t>
            </w:r>
          </w:p>
          <w:p w14:paraId="1C63553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8CD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 - Normal</w:t>
            </w:r>
          </w:p>
          <w:p w14:paraId="17756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EC376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715D1B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Runoff from fertilizer use; leaching from septic tanks, sewage; erosion of natural deposits.</w:t>
            </w:r>
          </w:p>
          <w:p w14:paraId="3B1A4F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646BD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8B1AD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16C2" w14:paraId="19325967" w14:textId="77777777" w:rsidTr="003C6C4C">
        <w:trPr>
          <w:jc w:val="center"/>
        </w:trPr>
        <w:tc>
          <w:tcPr>
            <w:tcW w:w="3822" w:type="dxa"/>
          </w:tcPr>
          <w:p w14:paraId="5332E20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Synthetic Organic Compounds</w:t>
            </w:r>
          </w:p>
          <w:p w14:paraId="6216106A" w14:textId="53EB9981" w:rsidR="00E216C2" w:rsidRDefault="0014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SOC’s per well site </w:t>
            </w:r>
          </w:p>
        </w:tc>
        <w:tc>
          <w:tcPr>
            <w:tcW w:w="917" w:type="dxa"/>
          </w:tcPr>
          <w:p w14:paraId="0380A59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DB8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1B78D8E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2615D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7E1FF57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1826A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results – N/D (None Detected within the sensitivity of the instrument.</w:t>
            </w:r>
          </w:p>
        </w:tc>
        <w:tc>
          <w:tcPr>
            <w:tcW w:w="2590" w:type="dxa"/>
          </w:tcPr>
          <w:p w14:paraId="588FA17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product of industrial processes &amp; petroleum production, leaking petroleum storage tanks, cleaning.</w:t>
            </w:r>
          </w:p>
        </w:tc>
      </w:tr>
      <w:tr w:rsidR="00E216C2" w14:paraId="2B7CFEA9" w14:textId="77777777" w:rsidTr="003C6C4C">
        <w:trPr>
          <w:jc w:val="center"/>
        </w:trPr>
        <w:tc>
          <w:tcPr>
            <w:tcW w:w="3822" w:type="dxa"/>
          </w:tcPr>
          <w:p w14:paraId="3B9C91F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Volatile Organic Compounds</w:t>
            </w:r>
          </w:p>
          <w:p w14:paraId="0098B0DD" w14:textId="59FA0C12" w:rsidR="00E216C2" w:rsidRDefault="00140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wells tested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 </w:t>
            </w:r>
            <w:r w:rsidR="00140B4A">
              <w:rPr>
                <w:rFonts w:ascii="Arial" w:eastAsia="Arial" w:hAnsi="Arial" w:cs="Arial"/>
                <w:color w:val="000000"/>
                <w:sz w:val="20"/>
                <w:szCs w:val="20"/>
              </w:rPr>
              <w:t>VOC’s.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C5B29F" w14:textId="09BA9FF5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476281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291423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4A6BF8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0C0EB68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Solvent spills/discharges into storm drains or sewers.</w:t>
            </w:r>
          </w:p>
        </w:tc>
      </w:tr>
      <w:tr w:rsidR="00E216C2" w14:paraId="533E287D" w14:textId="77777777" w:rsidTr="003C6C4C">
        <w:trPr>
          <w:jc w:val="center"/>
        </w:trPr>
        <w:tc>
          <w:tcPr>
            <w:tcW w:w="3822" w:type="dxa"/>
          </w:tcPr>
          <w:p w14:paraId="754253E9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Lead and Copper </w:t>
            </w:r>
          </w:p>
          <w:p w14:paraId="0C9A0C88" w14:textId="16D3354E" w:rsidR="00E216C2" w:rsidRDefault="00F8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homes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good waiting on 1</w:t>
            </w:r>
            <w:r w:rsidR="00A11A2B">
              <w:rPr>
                <w:rFonts w:ascii="Arial" w:eastAsia="Arial" w:hAnsi="Arial" w:cs="Arial"/>
                <w:color w:val="000000"/>
                <w:sz w:val="20"/>
                <w:szCs w:val="20"/>
              </w:rPr>
              <w:t>,,6/27/25</w:t>
            </w:r>
          </w:p>
        </w:tc>
        <w:tc>
          <w:tcPr>
            <w:tcW w:w="917" w:type="dxa"/>
          </w:tcPr>
          <w:p w14:paraId="0CDF6CB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7259670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AD1DE71" w14:textId="33317E9F" w:rsidR="00E216C2" w:rsidRDefault="00177F43" w:rsidP="00177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7F43">
              <w:rPr>
                <w:rFonts w:ascii="Arial" w:eastAsia="Arial" w:hAnsi="Arial" w:cs="Arial"/>
                <w:color w:val="000000"/>
                <w:sz w:val="20"/>
                <w:szCs w:val="20"/>
              </w:rPr>
              <w:t>In Compliance with state and federal guidelines</w:t>
            </w:r>
          </w:p>
        </w:tc>
        <w:tc>
          <w:tcPr>
            <w:tcW w:w="2590" w:type="dxa"/>
          </w:tcPr>
          <w:p w14:paraId="104F74B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Leaching from metal water pipes and fittings.</w:t>
            </w:r>
          </w:p>
        </w:tc>
      </w:tr>
      <w:tr w:rsidR="001E2551" w14:paraId="18EE1F66" w14:textId="77777777" w:rsidTr="006178B0">
        <w:trPr>
          <w:trHeight w:val="4823"/>
          <w:jc w:val="center"/>
        </w:trPr>
        <w:tc>
          <w:tcPr>
            <w:tcW w:w="3822" w:type="dxa"/>
          </w:tcPr>
          <w:p w14:paraId="6F4D9082" w14:textId="68FDA87C" w:rsidR="001E2551" w:rsidRDefault="00AC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PF</w:t>
            </w:r>
            <w:r w:rsidR="006D6A40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 and PF</w:t>
            </w:r>
            <w:r w:rsidR="0058292A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OA</w:t>
            </w:r>
            <w:r w:rsidR="008C5F83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3038D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Quart</w:t>
            </w:r>
            <w:r w:rsidR="005C56E1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erly</w:t>
            </w:r>
            <w:r w:rsidR="00B36FDC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6E5354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202</w:t>
            </w:r>
            <w:r w:rsidR="00F8190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4</w:t>
            </w:r>
            <w:r w:rsidR="006E5354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-202</w:t>
            </w:r>
            <w:r w:rsidR="00F8190B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917" w:type="dxa"/>
          </w:tcPr>
          <w:p w14:paraId="0DADCB35" w14:textId="141F470C" w:rsidR="001E2551" w:rsidRDefault="003D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5F596D05" w14:textId="736A23BB" w:rsidR="001E2551" w:rsidRDefault="003D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4B83E93" w14:textId="24EAA612" w:rsidR="001E2551" w:rsidRDefault="00695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="003830F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 </w:t>
            </w:r>
            <w:r w:rsidR="00150713">
              <w:rPr>
                <w:rFonts w:ascii="Arial" w:eastAsia="Arial" w:hAnsi="Arial" w:cs="Arial"/>
                <w:color w:val="000000"/>
                <w:sz w:val="20"/>
                <w:szCs w:val="20"/>
              </w:rPr>
              <w:t>Compliance</w:t>
            </w:r>
            <w:r w:rsidR="00E31F5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with state and federal </w:t>
            </w:r>
            <w:r w:rsidR="003E00D7">
              <w:rPr>
                <w:rFonts w:ascii="Arial" w:eastAsia="Arial" w:hAnsi="Arial" w:cs="Arial"/>
                <w:color w:val="000000"/>
                <w:sz w:val="20"/>
                <w:szCs w:val="20"/>
              </w:rPr>
              <w:t>guidelines.</w:t>
            </w:r>
          </w:p>
        </w:tc>
        <w:tc>
          <w:tcPr>
            <w:tcW w:w="2590" w:type="dxa"/>
          </w:tcPr>
          <w:p w14:paraId="2B453424" w14:textId="7E1D8D69" w:rsidR="003631D5" w:rsidRDefault="00BD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="001A2092">
              <w:rPr>
                <w:rFonts w:ascii="Arial" w:eastAsia="Arial" w:hAnsi="Arial" w:cs="Arial"/>
                <w:color w:val="000000"/>
                <w:sz w:val="20"/>
                <w:szCs w:val="20"/>
              </w:rPr>
              <w:t>ndustrial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2429E2A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TERMS AND ABBREVIATIONS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BA7E6F" w14:textId="77777777" w:rsidR="00E216C2" w:rsidRDefault="00E216C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  <w:sectPr w:rsidR="00E216C2">
          <w:pgSz w:w="12240" w:h="15840"/>
          <w:pgMar w:top="1008" w:right="1080" w:bottom="1008" w:left="1080" w:header="720" w:footer="720" w:gutter="0"/>
          <w:pgNumType w:start="1"/>
          <w:cols w:space="720"/>
        </w:sectPr>
      </w:pPr>
    </w:p>
    <w:p w14:paraId="4D91459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non detectable at testing limit </w:t>
      </w:r>
    </w:p>
    <w:p w14:paraId="592850FB" w14:textId="17B4C60B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  <w:sectPr w:rsidR="00E216C2">
          <w:type w:val="continuous"/>
          <w:pgSz w:w="12240" w:h="15840"/>
          <w:pgMar w:top="1008" w:right="1080" w:bottom="1008" w:left="1080" w:header="720" w:footer="720" w:gutter="0"/>
          <w:cols w:space="720"/>
        </w:sect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pCi/l: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picocuries per liter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7AB788D1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(MCL):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highest level of a contaminant that is allowed in drinking water. MCLs are set as close to the MCLGs as feasible using the best available treatment technology.</w:t>
      </w:r>
    </w:p>
    <w:p w14:paraId="6E08BFBF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Goal (MCLG):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level of a contaminant in drinking water below which there is no known or expected risk to health. MCLGs allow for a margin of safety.</w:t>
      </w:r>
    </w:p>
    <w:p w14:paraId="60B0EC1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Action Level (AL):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concentration of a contaminant which, when exceeded, triggers treatment or other requirements which a water system must follow.</w:t>
      </w:r>
    </w:p>
    <w:p w14:paraId="7E5ED366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Turbidity: </w:t>
      </w:r>
      <w:r>
        <w:rPr>
          <w:rFonts w:ascii="Arial" w:eastAsia="Arial" w:hAnsi="Arial" w:cs="Arial"/>
          <w:color w:val="000000"/>
          <w:sz w:val="20"/>
          <w:szCs w:val="20"/>
        </w:rPr>
        <w:t>a single day or series of consecutive days, when one or more turbidity measurement each day exceeds 5 NTU (nephelometric turbidity unit).  Indicates possible microbiological excess.</w:t>
      </w:r>
    </w:p>
    <w:p w14:paraId="16E0D91B" w14:textId="1DBCC263" w:rsidR="00E216C2" w:rsidRDefault="00E216C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</w:p>
    <w:sectPr w:rsidR="00E216C2">
      <w:type w:val="continuous"/>
      <w:pgSz w:w="12240" w:h="15840"/>
      <w:pgMar w:top="1008" w:right="1080" w:bottom="10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F54D" w14:textId="77777777" w:rsidR="006D4F43" w:rsidRDefault="006D4F43" w:rsidP="00FA5F39">
      <w:r>
        <w:separator/>
      </w:r>
    </w:p>
  </w:endnote>
  <w:endnote w:type="continuationSeparator" w:id="0">
    <w:p w14:paraId="1A0DE171" w14:textId="77777777" w:rsidR="006D4F43" w:rsidRDefault="006D4F43" w:rsidP="00F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EDC9" w14:textId="77777777" w:rsidR="006D4F43" w:rsidRDefault="006D4F43" w:rsidP="00FA5F39">
      <w:r>
        <w:separator/>
      </w:r>
    </w:p>
  </w:footnote>
  <w:footnote w:type="continuationSeparator" w:id="0">
    <w:p w14:paraId="3C3F7013" w14:textId="77777777" w:rsidR="006D4F43" w:rsidRDefault="006D4F43" w:rsidP="00FA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239"/>
    <w:multiLevelType w:val="multilevel"/>
    <w:tmpl w:val="93AA4BE8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1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7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3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3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061A8B"/>
    <w:rsid w:val="00075329"/>
    <w:rsid w:val="00082527"/>
    <w:rsid w:val="000C43DC"/>
    <w:rsid w:val="00140B4A"/>
    <w:rsid w:val="00140D4A"/>
    <w:rsid w:val="00150713"/>
    <w:rsid w:val="00152EAA"/>
    <w:rsid w:val="00177F43"/>
    <w:rsid w:val="001A2092"/>
    <w:rsid w:val="001E2551"/>
    <w:rsid w:val="00216640"/>
    <w:rsid w:val="002340F9"/>
    <w:rsid w:val="00241DA3"/>
    <w:rsid w:val="002500D2"/>
    <w:rsid w:val="00252BFC"/>
    <w:rsid w:val="00272C3F"/>
    <w:rsid w:val="00276A13"/>
    <w:rsid w:val="002B1C2A"/>
    <w:rsid w:val="00301B80"/>
    <w:rsid w:val="003038D2"/>
    <w:rsid w:val="00325F56"/>
    <w:rsid w:val="00355A83"/>
    <w:rsid w:val="003631D5"/>
    <w:rsid w:val="003830FD"/>
    <w:rsid w:val="003C6C4C"/>
    <w:rsid w:val="003D0F32"/>
    <w:rsid w:val="003D2BA4"/>
    <w:rsid w:val="003E00D7"/>
    <w:rsid w:val="003E0FC9"/>
    <w:rsid w:val="004503E4"/>
    <w:rsid w:val="00492D34"/>
    <w:rsid w:val="00526C57"/>
    <w:rsid w:val="005377DD"/>
    <w:rsid w:val="00571EEB"/>
    <w:rsid w:val="0057335F"/>
    <w:rsid w:val="0058292A"/>
    <w:rsid w:val="005C0495"/>
    <w:rsid w:val="005C56E1"/>
    <w:rsid w:val="006178B0"/>
    <w:rsid w:val="006260E7"/>
    <w:rsid w:val="00641A70"/>
    <w:rsid w:val="00695434"/>
    <w:rsid w:val="006A4948"/>
    <w:rsid w:val="006C045C"/>
    <w:rsid w:val="006D4F43"/>
    <w:rsid w:val="006D6A40"/>
    <w:rsid w:val="006E0014"/>
    <w:rsid w:val="006E5354"/>
    <w:rsid w:val="0070280A"/>
    <w:rsid w:val="00745E1B"/>
    <w:rsid w:val="00775140"/>
    <w:rsid w:val="00792668"/>
    <w:rsid w:val="007B0146"/>
    <w:rsid w:val="008172DD"/>
    <w:rsid w:val="00830CE7"/>
    <w:rsid w:val="00836CA9"/>
    <w:rsid w:val="00872F28"/>
    <w:rsid w:val="008C5F83"/>
    <w:rsid w:val="008E1C5F"/>
    <w:rsid w:val="008F5269"/>
    <w:rsid w:val="00932F3D"/>
    <w:rsid w:val="009703EE"/>
    <w:rsid w:val="00972645"/>
    <w:rsid w:val="00A00B39"/>
    <w:rsid w:val="00A11A2B"/>
    <w:rsid w:val="00A26F5A"/>
    <w:rsid w:val="00A30DE5"/>
    <w:rsid w:val="00A52DA9"/>
    <w:rsid w:val="00A871DE"/>
    <w:rsid w:val="00AB41C1"/>
    <w:rsid w:val="00AC283D"/>
    <w:rsid w:val="00B36FDC"/>
    <w:rsid w:val="00B54C4B"/>
    <w:rsid w:val="00B6555D"/>
    <w:rsid w:val="00B94C45"/>
    <w:rsid w:val="00BD5871"/>
    <w:rsid w:val="00BF6327"/>
    <w:rsid w:val="00CA789F"/>
    <w:rsid w:val="00D3475A"/>
    <w:rsid w:val="00D85E86"/>
    <w:rsid w:val="00D97E82"/>
    <w:rsid w:val="00DC252B"/>
    <w:rsid w:val="00E216C2"/>
    <w:rsid w:val="00E31F5D"/>
    <w:rsid w:val="00E51712"/>
    <w:rsid w:val="00E801F7"/>
    <w:rsid w:val="00E832DB"/>
    <w:rsid w:val="00F23D45"/>
    <w:rsid w:val="00F40E86"/>
    <w:rsid w:val="00F44677"/>
    <w:rsid w:val="00F8190B"/>
    <w:rsid w:val="00F95623"/>
    <w:rsid w:val="00FA5F39"/>
    <w:rsid w:val="00FA723C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7DA38"/>
  <w15:docId w15:val="{94460D1F-3906-4188-B428-2593CC4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A5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F39"/>
  </w:style>
  <w:style w:type="paragraph" w:styleId="Footer">
    <w:name w:val="footer"/>
    <w:basedOn w:val="Normal"/>
    <w:link w:val="FooterChar"/>
    <w:uiPriority w:val="99"/>
    <w:unhideWhenUsed/>
    <w:rsid w:val="00FA5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RICK NEAL</cp:lastModifiedBy>
  <cp:revision>3</cp:revision>
  <cp:lastPrinted>2020-05-28T19:39:00Z</cp:lastPrinted>
  <dcterms:created xsi:type="dcterms:W3CDTF">2025-06-27T22:54:00Z</dcterms:created>
  <dcterms:modified xsi:type="dcterms:W3CDTF">2025-06-27T23:08:00Z</dcterms:modified>
</cp:coreProperties>
</file>